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9D" w:rsidRPr="000F259D" w:rsidRDefault="000F259D" w:rsidP="000F259D">
      <w:pPr>
        <w:tabs>
          <w:tab w:val="left" w:pos="567"/>
        </w:tabs>
        <w:rPr>
          <w:rFonts w:cs="Arial"/>
          <w:b/>
          <w:bCs/>
          <w:sz w:val="24"/>
        </w:rPr>
      </w:pPr>
      <w:r w:rsidRPr="000F259D">
        <w:rPr>
          <w:rFonts w:cs="Arial"/>
          <w:b/>
          <w:bCs/>
          <w:sz w:val="24"/>
        </w:rPr>
        <w:t>3GPP TSG RAN WG1 Ad-Hoc Meeting 1901</w:t>
      </w:r>
      <w:r w:rsidRPr="000F259D">
        <w:rPr>
          <w:rFonts w:cs="Arial"/>
          <w:b/>
          <w:bCs/>
          <w:sz w:val="24"/>
        </w:rPr>
        <w:tab/>
      </w:r>
      <w:r w:rsidRPr="000F259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0F259D">
        <w:rPr>
          <w:rFonts w:cs="Arial"/>
          <w:b/>
          <w:bCs/>
          <w:sz w:val="24"/>
        </w:rPr>
        <w:t>R1-19</w:t>
      </w:r>
      <w:r w:rsidR="006D51EE">
        <w:rPr>
          <w:rFonts w:cs="Arial"/>
          <w:b/>
          <w:bCs/>
          <w:sz w:val="24"/>
        </w:rPr>
        <w:t>00429</w:t>
      </w:r>
    </w:p>
    <w:p w:rsidR="00512838" w:rsidRDefault="000F259D" w:rsidP="000F259D">
      <w:pPr>
        <w:tabs>
          <w:tab w:val="left" w:pos="567"/>
        </w:tabs>
        <w:rPr>
          <w:rFonts w:cs="Arial"/>
          <w:b/>
          <w:bCs/>
          <w:sz w:val="24"/>
        </w:rPr>
      </w:pPr>
      <w:r w:rsidRPr="000F259D">
        <w:rPr>
          <w:rFonts w:cs="Arial"/>
          <w:b/>
          <w:bCs/>
          <w:sz w:val="24"/>
        </w:rPr>
        <w:t>Taipei, Taiwan, 21st – 25th January,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745452">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745452" w:rsidRPr="00745452">
        <w:rPr>
          <w:b/>
          <w:sz w:val="24"/>
          <w:szCs w:val="24"/>
        </w:rPr>
        <w:t>Enhancements to support IAB node RACH</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6D51EE" w:rsidRDefault="006D51EE" w:rsidP="006D51EE">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6D51EE" w:rsidRDefault="006D51EE" w:rsidP="006D51EE">
      <w:pPr>
        <w:numPr>
          <w:ilvl w:val="0"/>
          <w:numId w:val="19"/>
        </w:numPr>
        <w:spacing w:beforeLines="60" w:before="144" w:afterLines="60" w:after="144" w:line="256" w:lineRule="auto"/>
        <w:jc w:val="left"/>
        <w:rPr>
          <w:rFonts w:asciiTheme="minorHAnsi" w:hAnsiTheme="minorHAnsi"/>
        </w:rPr>
      </w:pPr>
      <w:r>
        <w:t xml:space="preserve">Specification of extension of RACH occasions and periodicities for backhaul RACH resources. w.r.t. access RACH resources, and associated network coordination mechanisms for selection of such parameters (in order to orthogonalize access and BH due to the half-duplex constraints) </w:t>
      </w:r>
    </w:p>
    <w:p w:rsidR="006D51EE" w:rsidRPr="00C724F1" w:rsidRDefault="006D51EE" w:rsidP="006D51EE">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IAB node RACH</w:t>
      </w:r>
      <w:r w:rsidRPr="00C724F1">
        <w:rPr>
          <w:rFonts w:ascii="Calibri" w:hAnsi="Calibri"/>
        </w:rPr>
        <w:t>.</w:t>
      </w:r>
    </w:p>
    <w:p w:rsidR="00346605" w:rsidRPr="00172743" w:rsidRDefault="006D51EE" w:rsidP="00326FF6">
      <w:pPr>
        <w:pStyle w:val="Heading1"/>
      </w:pPr>
      <w:r>
        <w:t>RACH</w:t>
      </w:r>
      <w:r w:rsidR="00C724F1">
        <w:t xml:space="preserve"> Enhancements for IAB</w:t>
      </w:r>
    </w:p>
    <w:p w:rsidR="00FD791D" w:rsidRDefault="004D5296" w:rsidP="004D5296">
      <w:pPr>
        <w:pStyle w:val="maintext"/>
        <w:ind w:firstLineChars="0" w:firstLine="0"/>
        <w:rPr>
          <w:rFonts w:ascii="Calibri" w:hAnsi="Calibri"/>
        </w:rPr>
      </w:pPr>
      <w:r>
        <w:rPr>
          <w:rFonts w:ascii="Calibri" w:hAnsi="Calibri"/>
        </w:rPr>
        <w:t>As captured in TR 38.874</w:t>
      </w:r>
      <w:r w:rsidR="00212462">
        <w:rPr>
          <w:rFonts w:ascii="Calibri" w:hAnsi="Calibri"/>
        </w:rPr>
        <w:t xml:space="preserve"> [2]</w:t>
      </w:r>
      <w:r>
        <w:rPr>
          <w:rFonts w:ascii="Calibri" w:hAnsi="Calibri"/>
        </w:rPr>
        <w:t>:</w:t>
      </w:r>
    </w:p>
    <w:p w:rsidR="004D5296" w:rsidRPr="00F207B8" w:rsidRDefault="004D5296" w:rsidP="004D5296">
      <w:pPr>
        <w:ind w:left="720"/>
      </w:pPr>
      <w:r w:rsidRPr="00F207B8">
        <w:t>IAB supports the ability of network flexibility to configure backhaul RACH resources with different occasions, longer RACH periodicities, and additional preamble formats allowing for longer RTT, compared to access RACH resources without impacting Rel-15 UEs.</w:t>
      </w:r>
    </w:p>
    <w:p w:rsidR="004D5296" w:rsidRDefault="004D5296" w:rsidP="004D5296">
      <w:pPr>
        <w:spacing w:after="0"/>
        <w:ind w:left="720"/>
      </w:pPr>
      <w:r w:rsidRPr="00F207B8">
        <w:t xml:space="preserve">Based on Rel-15 PRACH configurations, the network is allowed to configure offset(s) for PRACH occasions for the MT of </w:t>
      </w:r>
      <w:r>
        <w:t>IAB-node</w:t>
      </w:r>
      <w:r w:rsidRPr="00F207B8">
        <w:t>(s), in order to TDM backhaul RACH resources across adjacent hops.</w:t>
      </w:r>
    </w:p>
    <w:p w:rsidR="001C7437" w:rsidRPr="00F207B8" w:rsidRDefault="001C7437" w:rsidP="004D5296">
      <w:pPr>
        <w:spacing w:after="0"/>
        <w:ind w:left="720"/>
      </w:pPr>
    </w:p>
    <w:p w:rsidR="00FD791D" w:rsidRDefault="003B4B08" w:rsidP="00FD791D">
      <w:pPr>
        <w:pStyle w:val="maintext"/>
        <w:ind w:firstLineChars="0" w:firstLine="0"/>
        <w:rPr>
          <w:rFonts w:ascii="Calibri" w:hAnsi="Calibri"/>
        </w:rPr>
      </w:pPr>
      <w:r>
        <w:rPr>
          <w:rFonts w:ascii="Calibri" w:hAnsi="Calibri"/>
        </w:rPr>
        <w:t xml:space="preserve">Similar to the design of the </w:t>
      </w:r>
      <w:r w:rsidR="00B31714">
        <w:rPr>
          <w:rFonts w:ascii="Calibri" w:hAnsi="Calibri"/>
        </w:rPr>
        <w:t xml:space="preserve">muting patterns for SSBs used for inter-IAB node discovery and measurement, the RACH resources, including the periodicities and occasions need to support the ability to be orthogonal across hop orders in order to </w:t>
      </w:r>
      <w:r w:rsidR="00C92D53">
        <w:rPr>
          <w:rFonts w:ascii="Calibri" w:hAnsi="Calibri"/>
        </w:rPr>
        <w:t xml:space="preserve">accommodate </w:t>
      </w:r>
      <w:r w:rsidR="00B31714">
        <w:rPr>
          <w:rFonts w:ascii="Calibri" w:hAnsi="Calibri"/>
        </w:rPr>
        <w:t>the half-duplex constraint</w:t>
      </w:r>
      <w:r w:rsidR="001C7437">
        <w:rPr>
          <w:rFonts w:ascii="Calibri" w:hAnsi="Calibri"/>
        </w:rPr>
        <w:t xml:space="preserve"> [3]</w:t>
      </w:r>
      <w:r w:rsidR="00B31714">
        <w:rPr>
          <w:rFonts w:ascii="Calibri" w:hAnsi="Calibri"/>
        </w:rPr>
        <w:t>. However, since the locations of the RACH occasions is linked to the time domain position of the associated SSB, it is straightforward to reuse the Rel-15 configurations, with appropriate extensions which match the defined muting patterns and periodicities of the SSB.</w:t>
      </w:r>
      <w:r w:rsidR="001C7437">
        <w:rPr>
          <w:rFonts w:ascii="Calibri" w:hAnsi="Calibri"/>
        </w:rPr>
        <w:t xml:space="preserve"> In addition, the time domain offsets to support RACH transmissions and receptions</w:t>
      </w:r>
      <w:r w:rsidR="00C92D53">
        <w:rPr>
          <w:rFonts w:ascii="Calibri" w:hAnsi="Calibri"/>
        </w:rPr>
        <w:t xml:space="preserve"> occasions </w:t>
      </w:r>
      <w:r w:rsidR="001C7437">
        <w:rPr>
          <w:rFonts w:ascii="Calibri" w:hAnsi="Calibri"/>
        </w:rPr>
        <w:t>in a TDM manner should enable both intra and inter-hop use of RACH occasions within a set of resources for a given SSB in order to enable flexible topology adaptation.</w:t>
      </w:r>
    </w:p>
    <w:p w:rsidR="00B31714" w:rsidRDefault="00B31714" w:rsidP="00B31714">
      <w:pPr>
        <w:pStyle w:val="maintext"/>
        <w:ind w:firstLineChars="0" w:firstLine="0"/>
        <w:rPr>
          <w:rFonts w:ascii="Calibri" w:hAnsi="Calibri"/>
          <w:b/>
        </w:rPr>
      </w:pPr>
      <w:r>
        <w:rPr>
          <w:rFonts w:ascii="Calibri" w:hAnsi="Calibri"/>
          <w:b/>
        </w:rPr>
        <w:t xml:space="preserve">Proposal 1: To </w:t>
      </w:r>
      <w:r w:rsidR="001C7437">
        <w:rPr>
          <w:rFonts w:ascii="Calibri" w:hAnsi="Calibri"/>
          <w:b/>
        </w:rPr>
        <w:t>support RACH for IAB-nodes, the same TDM pattern and additional periodicities defined for inter-IAB node discovery and measurement based on SSBs should be applied to the corresponding RACH configurations with time offsets which enable intra and inter-hop topology adaptation.</w:t>
      </w:r>
    </w:p>
    <w:p w:rsidR="00175301" w:rsidRPr="0033513A" w:rsidRDefault="00175301" w:rsidP="00FB2665">
      <w:pPr>
        <w:pStyle w:val="maintext"/>
        <w:ind w:firstLineChars="0" w:firstLine="0"/>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 xml:space="preserve">potential </w:t>
      </w:r>
      <w:r w:rsidR="00B31714">
        <w:rPr>
          <w:rFonts w:ascii="Calibri" w:hAnsi="Calibri"/>
        </w:rPr>
        <w:t xml:space="preserve">RACH </w:t>
      </w:r>
      <w:r w:rsidR="00C724F1">
        <w:rPr>
          <w:rFonts w:ascii="Calibri" w:hAnsi="Calibri"/>
        </w:rPr>
        <w:t>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31714">
        <w:rPr>
          <w:rFonts w:ascii="Calibri" w:hAnsi="Calibri"/>
        </w:rPr>
        <w:t>. The following proposal</w:t>
      </w:r>
      <w:r w:rsidR="00E604D6">
        <w:rPr>
          <w:rFonts w:ascii="Calibri" w:hAnsi="Calibri"/>
        </w:rPr>
        <w:t xml:space="preserve"> w</w:t>
      </w:r>
      <w:r w:rsidR="00B31714">
        <w:rPr>
          <w:rFonts w:ascii="Calibri" w:hAnsi="Calibri"/>
        </w:rPr>
        <w:t>as</w:t>
      </w:r>
      <w:r w:rsidR="00E604D6">
        <w:rPr>
          <w:rFonts w:ascii="Calibri" w:hAnsi="Calibri"/>
        </w:rPr>
        <w:t xml:space="preserve"> made</w:t>
      </w:r>
      <w:r>
        <w:rPr>
          <w:rFonts w:ascii="Calibri" w:hAnsi="Calibri"/>
        </w:rPr>
        <w:t>:</w:t>
      </w:r>
    </w:p>
    <w:p w:rsidR="001C7437" w:rsidRDefault="001C7437" w:rsidP="001C7437">
      <w:pPr>
        <w:pStyle w:val="maintext"/>
        <w:ind w:firstLineChars="0" w:firstLine="0"/>
        <w:rPr>
          <w:rFonts w:ascii="Calibri" w:hAnsi="Calibri"/>
          <w:b/>
        </w:rPr>
      </w:pPr>
      <w:r>
        <w:rPr>
          <w:rFonts w:ascii="Calibri" w:hAnsi="Calibri"/>
          <w:b/>
        </w:rPr>
        <w:t>Proposal 1: To support RACH for IAB-nodes, the same TDM pattern and additional periodicities defined for inter-IAB node discovery and measurement based on SSBs should be applied to the corresponding RACH configurations with time offsets which enable intra and inter-hop topology adaptation.</w:t>
      </w:r>
    </w:p>
    <w:p w:rsidR="006703A8" w:rsidRDefault="006703A8" w:rsidP="00172743">
      <w:pPr>
        <w:spacing w:before="0" w:after="0"/>
        <w:rPr>
          <w:rFonts w:ascii="Calibri" w:hAnsi="Calibri"/>
        </w:rPr>
      </w:pPr>
    </w:p>
    <w:p w:rsidR="00FE6C15" w:rsidRPr="0076067D" w:rsidRDefault="00FE6C15" w:rsidP="0076067D">
      <w:pPr>
        <w:pStyle w:val="Heading1"/>
      </w:pPr>
      <w:r>
        <w:lastRenderedPageBreak/>
        <w:t>Reference</w:t>
      </w:r>
    </w:p>
    <w:p w:rsidR="00CA6884" w:rsidRDefault="00CA6884" w:rsidP="00CA6884">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CA6884" w:rsidRDefault="00CA6884" w:rsidP="00CA6884">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p w:rsidR="001C7437" w:rsidRPr="00A54900" w:rsidRDefault="001C7437" w:rsidP="00CA6884">
      <w:pPr>
        <w:pStyle w:val="2222"/>
        <w:spacing w:after="120" w:line="288" w:lineRule="auto"/>
        <w:ind w:firstLineChars="0" w:firstLine="0"/>
        <w:jc w:val="left"/>
        <w:rPr>
          <w:rFonts w:cs="Times New Roman"/>
          <w:lang w:eastAsia="ko-KR"/>
        </w:rPr>
      </w:pPr>
      <w:r>
        <w:rPr>
          <w:rFonts w:cs="Arial"/>
        </w:rPr>
        <w:t>[3] R1-19</w:t>
      </w:r>
      <w:r w:rsidR="00EB207C">
        <w:rPr>
          <w:rFonts w:cs="Arial"/>
        </w:rPr>
        <w:t xml:space="preserve">00428, </w:t>
      </w:r>
      <w:bookmarkStart w:id="2" w:name="_GoBack"/>
      <w:bookmarkEnd w:id="2"/>
      <w:r w:rsidR="00212462" w:rsidRPr="00212462">
        <w:rPr>
          <w:rFonts w:cs="Arial"/>
        </w:rPr>
        <w:t>Enhancements to support inter-IAB node discovery and measurements</w:t>
      </w:r>
      <w:r w:rsidR="00212462">
        <w:rPr>
          <w:rFonts w:cs="Arial"/>
        </w:rPr>
        <w:t>, AT&amp;T</w:t>
      </w: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7FC" w:rsidRDefault="006E07FC" w:rsidP="00424124">
      <w:pPr>
        <w:spacing w:before="0" w:after="0"/>
      </w:pPr>
      <w:r>
        <w:separator/>
      </w:r>
    </w:p>
  </w:endnote>
  <w:endnote w:type="continuationSeparator" w:id="0">
    <w:p w:rsidR="006E07FC" w:rsidRDefault="006E07F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7FC" w:rsidRDefault="006E07FC" w:rsidP="00424124">
      <w:pPr>
        <w:spacing w:before="0" w:after="0"/>
      </w:pPr>
      <w:r>
        <w:separator/>
      </w:r>
    </w:p>
  </w:footnote>
  <w:footnote w:type="continuationSeparator" w:id="0">
    <w:p w:rsidR="006E07FC" w:rsidRDefault="006E07F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1"/>
  </w:num>
  <w:num w:numId="9">
    <w:abstractNumId w:val="2"/>
  </w:num>
  <w:num w:numId="10">
    <w:abstractNumId w:val="3"/>
  </w:num>
  <w:num w:numId="11">
    <w:abstractNumId w:val="14"/>
  </w:num>
  <w:num w:numId="12">
    <w:abstractNumId w:val="7"/>
  </w:num>
  <w:num w:numId="13">
    <w:abstractNumId w:val="8"/>
  </w:num>
  <w:num w:numId="14">
    <w:abstractNumId w:val="18"/>
  </w:num>
  <w:num w:numId="15">
    <w:abstractNumId w:val="1"/>
  </w:num>
  <w:num w:numId="16">
    <w:abstractNumId w:val="16"/>
  </w:num>
  <w:num w:numId="17">
    <w:abstractNumId w:val="12"/>
  </w:num>
  <w:num w:numId="18">
    <w:abstractNumId w:val="9"/>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C7437"/>
    <w:rsid w:val="001E02F3"/>
    <w:rsid w:val="001E0CE1"/>
    <w:rsid w:val="001E58CC"/>
    <w:rsid w:val="001F02DD"/>
    <w:rsid w:val="001F2A01"/>
    <w:rsid w:val="001F59ED"/>
    <w:rsid w:val="002013B3"/>
    <w:rsid w:val="00201870"/>
    <w:rsid w:val="00211D37"/>
    <w:rsid w:val="00212204"/>
    <w:rsid w:val="00212462"/>
    <w:rsid w:val="0021262A"/>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4B08"/>
    <w:rsid w:val="003B5456"/>
    <w:rsid w:val="003C2392"/>
    <w:rsid w:val="003C2E75"/>
    <w:rsid w:val="003E1304"/>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5296"/>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8F3"/>
    <w:rsid w:val="006A2D2E"/>
    <w:rsid w:val="006C0BAC"/>
    <w:rsid w:val="006C452E"/>
    <w:rsid w:val="006C7692"/>
    <w:rsid w:val="006D51EE"/>
    <w:rsid w:val="006D6ABC"/>
    <w:rsid w:val="006E07F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33FA0"/>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1714"/>
    <w:rsid w:val="00B32216"/>
    <w:rsid w:val="00B34010"/>
    <w:rsid w:val="00B34716"/>
    <w:rsid w:val="00B3707E"/>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2EB1"/>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D53"/>
    <w:rsid w:val="00C92E44"/>
    <w:rsid w:val="00CA688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105"/>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207C"/>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ACC5F"/>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923608">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1C45B-D1AE-42E4-94C6-C42A5EE5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3037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5</cp:revision>
  <cp:lastPrinted>2018-09-28T20:14:00Z</cp:lastPrinted>
  <dcterms:created xsi:type="dcterms:W3CDTF">2019-01-11T20:10:00Z</dcterms:created>
  <dcterms:modified xsi:type="dcterms:W3CDTF">2019-01-11T20:24:00Z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